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4" w:rsidRPr="004C1CAA" w:rsidRDefault="00D32C5C" w:rsidP="00646C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b/>
          <w:sz w:val="20"/>
          <w:szCs w:val="20"/>
        </w:rPr>
        <w:t xml:space="preserve">EXHIBIT B: </w:t>
      </w:r>
      <w:r w:rsidR="00703654" w:rsidRPr="004C1CAA">
        <w:rPr>
          <w:rFonts w:ascii="Times New Roman" w:hAnsi="Times New Roman" w:cs="Times New Roman"/>
          <w:b/>
          <w:sz w:val="20"/>
          <w:szCs w:val="20"/>
        </w:rPr>
        <w:t>PAYMENT PROVISIONS</w:t>
      </w:r>
    </w:p>
    <w:p w:rsidR="00646C30" w:rsidRPr="004C1CAA" w:rsidRDefault="00646C30" w:rsidP="00646C30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47085" w:rsidRPr="004C1CAA" w:rsidRDefault="00703654" w:rsidP="00D47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b/>
          <w:sz w:val="20"/>
          <w:szCs w:val="20"/>
        </w:rPr>
        <w:t>COMPENSATION</w:t>
      </w:r>
      <w:r w:rsidR="003E4767" w:rsidRPr="004C1CA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E4767" w:rsidRPr="004C1CAA">
        <w:rPr>
          <w:rFonts w:ascii="Times New Roman" w:hAnsi="Times New Roman" w:cs="Times New Roman"/>
          <w:sz w:val="20"/>
          <w:szCs w:val="20"/>
        </w:rPr>
        <w:t xml:space="preserve">Contractor will be compensated for all Work performed under </w:t>
      </w:r>
      <w:r w:rsidR="00D47085" w:rsidRPr="004C1CAA">
        <w:rPr>
          <w:rFonts w:ascii="Times New Roman" w:hAnsi="Times New Roman" w:cs="Times New Roman"/>
          <w:sz w:val="20"/>
          <w:szCs w:val="20"/>
        </w:rPr>
        <w:t>an</w:t>
      </w:r>
      <w:r w:rsidR="003E4767" w:rsidRPr="004C1CAA">
        <w:rPr>
          <w:rFonts w:ascii="Times New Roman" w:hAnsi="Times New Roman" w:cs="Times New Roman"/>
          <w:sz w:val="20"/>
          <w:szCs w:val="20"/>
        </w:rPr>
        <w:t xml:space="preserve"> Agreement</w:t>
      </w:r>
      <w:r w:rsidR="00D47085" w:rsidRPr="004C1CAA">
        <w:rPr>
          <w:rFonts w:ascii="Times New Roman" w:hAnsi="Times New Roman" w:cs="Times New Roman"/>
          <w:sz w:val="20"/>
          <w:szCs w:val="20"/>
        </w:rPr>
        <w:t xml:space="preserve"> that results from this solicitation</w:t>
      </w:r>
      <w:r w:rsidR="003E4767" w:rsidRPr="004C1CAA">
        <w:rPr>
          <w:rFonts w:ascii="Times New Roman" w:hAnsi="Times New Roman" w:cs="Times New Roman"/>
          <w:sz w:val="20"/>
          <w:szCs w:val="20"/>
        </w:rPr>
        <w:t xml:space="preserve"> </w:t>
      </w:r>
      <w:r w:rsidR="003D61B1" w:rsidRPr="004C1CAA">
        <w:rPr>
          <w:rFonts w:ascii="Times New Roman" w:hAnsi="Times New Roman" w:cs="Times New Roman"/>
          <w:sz w:val="20"/>
          <w:szCs w:val="20"/>
        </w:rPr>
        <w:t xml:space="preserve">(“the Agreement”) </w:t>
      </w:r>
      <w:r w:rsidR="003E4767" w:rsidRPr="004C1CAA">
        <w:rPr>
          <w:rFonts w:ascii="Times New Roman" w:hAnsi="Times New Roman" w:cs="Times New Roman"/>
          <w:sz w:val="20"/>
          <w:szCs w:val="20"/>
        </w:rPr>
        <w:t>as follows:</w:t>
      </w:r>
    </w:p>
    <w:p w:rsidR="00D47085" w:rsidRPr="004C1CAA" w:rsidRDefault="00D47085" w:rsidP="00D47085">
      <w:pPr>
        <w:pStyle w:val="ListParagraph"/>
        <w:ind w:left="792"/>
        <w:rPr>
          <w:rFonts w:ascii="Times New Roman" w:hAnsi="Times New Roman" w:cs="Times New Roman"/>
          <w:b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 xml:space="preserve">The Court contracts with its two (2) medical benefit providers (each a “provider”, collectively “providers”) to include commission for its Broker on Record (Contractor) in the medical premiums paid by the Court </w:t>
      </w:r>
      <w:r w:rsidR="003D61B1" w:rsidRPr="004C1CAA">
        <w:rPr>
          <w:rFonts w:ascii="Times New Roman" w:hAnsi="Times New Roman" w:cs="Times New Roman"/>
          <w:sz w:val="20"/>
          <w:szCs w:val="20"/>
        </w:rPr>
        <w:t>to</w:t>
      </w:r>
      <w:r w:rsidRPr="004C1CAA">
        <w:rPr>
          <w:rFonts w:ascii="Times New Roman" w:hAnsi="Times New Roman" w:cs="Times New Roman"/>
          <w:sz w:val="20"/>
          <w:szCs w:val="20"/>
        </w:rPr>
        <w:t xml:space="preserve"> each provider, hereinafter referred to as “Commission”.</w:t>
      </w:r>
    </w:p>
    <w:p w:rsidR="00D47085" w:rsidRPr="004C1CAA" w:rsidRDefault="00D47085" w:rsidP="00D47085">
      <w:pPr>
        <w:pStyle w:val="ListParagraph"/>
        <w:ind w:left="792"/>
        <w:rPr>
          <w:rFonts w:ascii="Times New Roman" w:hAnsi="Times New Roman" w:cs="Times New Roman"/>
          <w:b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>Contractor will enter into a separate contract with each provider to receive all Commission directly from that provider.</w:t>
      </w:r>
    </w:p>
    <w:p w:rsidR="00D47085" w:rsidRPr="004C1CAA" w:rsidRDefault="00D47085" w:rsidP="00D470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 xml:space="preserve">Commission received by Contractor </w:t>
      </w:r>
      <w:r w:rsidR="003D61B1" w:rsidRPr="004C1CAA">
        <w:rPr>
          <w:rFonts w:ascii="Times New Roman" w:hAnsi="Times New Roman" w:cs="Times New Roman"/>
          <w:sz w:val="20"/>
          <w:szCs w:val="20"/>
        </w:rPr>
        <w:t>pursuant to the</w:t>
      </w:r>
      <w:r w:rsidRPr="004C1CAA">
        <w:rPr>
          <w:rFonts w:ascii="Times New Roman" w:hAnsi="Times New Roman" w:cs="Times New Roman"/>
          <w:sz w:val="20"/>
          <w:szCs w:val="20"/>
        </w:rPr>
        <w:t xml:space="preserve"> Agreement will be used to offset the total compensation due to Contractor</w:t>
      </w:r>
      <w:r w:rsidR="003D61B1" w:rsidRPr="004C1CAA">
        <w:rPr>
          <w:rFonts w:ascii="Times New Roman" w:hAnsi="Times New Roman" w:cs="Times New Roman"/>
          <w:sz w:val="20"/>
          <w:szCs w:val="20"/>
        </w:rPr>
        <w:t xml:space="preserve"> under the Agreement</w:t>
      </w:r>
      <w:r w:rsidRPr="004C1C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085" w:rsidRPr="004C1CAA" w:rsidRDefault="00D47085" w:rsidP="00D470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 xml:space="preserve">Contractor will refund the Court any Commission received in excess of </w:t>
      </w:r>
      <w:r w:rsidR="003D61B1" w:rsidRPr="004C1CAA">
        <w:rPr>
          <w:rFonts w:ascii="Times New Roman" w:hAnsi="Times New Roman" w:cs="Times New Roman"/>
          <w:sz w:val="20"/>
          <w:szCs w:val="20"/>
        </w:rPr>
        <w:t>the amount stated in the Agreement</w:t>
      </w:r>
      <w:r w:rsidRPr="004C1CAA">
        <w:rPr>
          <w:rFonts w:ascii="Times New Roman" w:hAnsi="Times New Roman" w:cs="Times New Roman"/>
          <w:sz w:val="20"/>
          <w:szCs w:val="20"/>
        </w:rPr>
        <w:t xml:space="preserve"> </w:t>
      </w:r>
      <w:r w:rsidR="008E5B68">
        <w:rPr>
          <w:rFonts w:ascii="Times New Roman" w:hAnsi="Times New Roman" w:cs="Times New Roman"/>
          <w:sz w:val="20"/>
          <w:szCs w:val="20"/>
        </w:rPr>
        <w:t xml:space="preserve">(based on Contractor’s cost proposal) </w:t>
      </w:r>
      <w:r w:rsidR="00DE7EC0" w:rsidRPr="004C1CAA">
        <w:rPr>
          <w:rFonts w:ascii="Times New Roman" w:hAnsi="Times New Roman" w:cs="Times New Roman"/>
          <w:sz w:val="20"/>
          <w:szCs w:val="20"/>
        </w:rPr>
        <w:t xml:space="preserve">for each term </w:t>
      </w:r>
      <w:r w:rsidRPr="004C1CAA">
        <w:rPr>
          <w:rFonts w:ascii="Times New Roman" w:hAnsi="Times New Roman" w:cs="Times New Roman"/>
          <w:sz w:val="20"/>
          <w:szCs w:val="20"/>
        </w:rPr>
        <w:t xml:space="preserve">within sixty (60) days of the end of </w:t>
      </w:r>
      <w:r w:rsidR="00DE7EC0" w:rsidRPr="004C1CAA">
        <w:rPr>
          <w:rFonts w:ascii="Times New Roman" w:hAnsi="Times New Roman" w:cs="Times New Roman"/>
          <w:sz w:val="20"/>
          <w:szCs w:val="20"/>
        </w:rPr>
        <w:t>each</w:t>
      </w:r>
      <w:r w:rsidRPr="004C1CAA">
        <w:rPr>
          <w:rFonts w:ascii="Times New Roman" w:hAnsi="Times New Roman" w:cs="Times New Roman"/>
          <w:sz w:val="20"/>
          <w:szCs w:val="20"/>
        </w:rPr>
        <w:t xml:space="preserve"> term of th</w:t>
      </w:r>
      <w:r w:rsidR="003D61B1" w:rsidRPr="004C1CAA">
        <w:rPr>
          <w:rFonts w:ascii="Times New Roman" w:hAnsi="Times New Roman" w:cs="Times New Roman"/>
          <w:sz w:val="20"/>
          <w:szCs w:val="20"/>
        </w:rPr>
        <w:t>e</w:t>
      </w:r>
      <w:r w:rsidRPr="004C1CAA">
        <w:rPr>
          <w:rFonts w:ascii="Times New Roman" w:hAnsi="Times New Roman" w:cs="Times New Roman"/>
          <w:sz w:val="20"/>
          <w:szCs w:val="20"/>
        </w:rPr>
        <w:t xml:space="preserve"> Agreement or termination date</w:t>
      </w:r>
      <w:r w:rsidR="003D61B1" w:rsidRPr="004C1CAA">
        <w:rPr>
          <w:rFonts w:ascii="Times New Roman" w:hAnsi="Times New Roman" w:cs="Times New Roman"/>
          <w:sz w:val="20"/>
          <w:szCs w:val="20"/>
        </w:rPr>
        <w:t xml:space="preserve"> of the Agreement</w:t>
      </w:r>
      <w:r w:rsidRPr="004C1CAA">
        <w:rPr>
          <w:rFonts w:ascii="Times New Roman" w:hAnsi="Times New Roman" w:cs="Times New Roman"/>
          <w:sz w:val="20"/>
          <w:szCs w:val="20"/>
        </w:rPr>
        <w:t>, whichever is earlier.</w:t>
      </w:r>
      <w:r w:rsidR="008E5B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47085" w:rsidRPr="004C1CAA" w:rsidRDefault="00D47085" w:rsidP="00D470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>Commission received by Contractor after the expiration or termination of th</w:t>
      </w:r>
      <w:r w:rsidR="003D61B1" w:rsidRPr="004C1CAA">
        <w:rPr>
          <w:rFonts w:ascii="Times New Roman" w:hAnsi="Times New Roman" w:cs="Times New Roman"/>
          <w:sz w:val="20"/>
          <w:szCs w:val="20"/>
        </w:rPr>
        <w:t>e</w:t>
      </w:r>
      <w:r w:rsidRPr="004C1CAA">
        <w:rPr>
          <w:rFonts w:ascii="Times New Roman" w:hAnsi="Times New Roman" w:cs="Times New Roman"/>
          <w:sz w:val="20"/>
          <w:szCs w:val="20"/>
        </w:rPr>
        <w:t xml:space="preserve"> Agreement that has not been refunded pursuant to </w:t>
      </w:r>
      <w:r w:rsidR="003D61B1" w:rsidRPr="004C1CAA">
        <w:rPr>
          <w:rFonts w:ascii="Times New Roman" w:hAnsi="Times New Roman" w:cs="Times New Roman"/>
          <w:sz w:val="20"/>
          <w:szCs w:val="20"/>
        </w:rPr>
        <w:t>Section 1.4</w:t>
      </w:r>
      <w:r w:rsidRPr="004C1CAA">
        <w:rPr>
          <w:rFonts w:ascii="Times New Roman" w:hAnsi="Times New Roman" w:cs="Times New Roman"/>
          <w:sz w:val="20"/>
          <w:szCs w:val="20"/>
        </w:rPr>
        <w:t xml:space="preserve"> above will be refunded to the Court by the Contractor within thirty (30) days of receipt.</w:t>
      </w:r>
    </w:p>
    <w:p w:rsidR="00D47085" w:rsidRPr="004C1CAA" w:rsidRDefault="00D47085" w:rsidP="00D470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 xml:space="preserve">Contractor is responsible for ensuring it receives all Commission from each provider, and on a timely and accurate basis per industry standards. </w:t>
      </w:r>
    </w:p>
    <w:p w:rsidR="00D47085" w:rsidRPr="004C1CAA" w:rsidRDefault="00D47085" w:rsidP="00D470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47085" w:rsidRPr="004C1CAA" w:rsidRDefault="00D47085" w:rsidP="00D47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>Contractor shall provide Commission records to the Court upon request</w:t>
      </w:r>
      <w:r w:rsidR="003D61B1" w:rsidRPr="004C1CAA">
        <w:rPr>
          <w:rFonts w:ascii="Times New Roman" w:hAnsi="Times New Roman" w:cs="Times New Roman"/>
          <w:sz w:val="20"/>
          <w:szCs w:val="20"/>
        </w:rPr>
        <w:t xml:space="preserve"> within ten (10) business days</w:t>
      </w:r>
      <w:r w:rsidRPr="004C1CAA">
        <w:rPr>
          <w:rFonts w:ascii="Times New Roman" w:hAnsi="Times New Roman" w:cs="Times New Roman"/>
          <w:sz w:val="20"/>
          <w:szCs w:val="20"/>
        </w:rPr>
        <w:t>.</w:t>
      </w:r>
    </w:p>
    <w:p w:rsidR="00D47085" w:rsidRPr="004C1CAA" w:rsidRDefault="00D47085" w:rsidP="00D4708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03654" w:rsidRPr="004C1CAA" w:rsidRDefault="00703654" w:rsidP="00D47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C1CAA">
        <w:rPr>
          <w:rFonts w:ascii="Times New Roman" w:hAnsi="Times New Roman" w:cs="Times New Roman"/>
          <w:b/>
          <w:sz w:val="20"/>
          <w:szCs w:val="20"/>
        </w:rPr>
        <w:t>EXPENSES</w:t>
      </w:r>
    </w:p>
    <w:p w:rsidR="00703654" w:rsidRPr="004C1CAA" w:rsidRDefault="00703654" w:rsidP="00C74075">
      <w:pPr>
        <w:pStyle w:val="ListParagraph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:rsidR="00703654" w:rsidRPr="004C1CAA" w:rsidRDefault="00730DEB" w:rsidP="00C7407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4C1CAA">
        <w:rPr>
          <w:rFonts w:ascii="Times New Roman" w:hAnsi="Times New Roman" w:cs="Times New Roman"/>
          <w:sz w:val="20"/>
          <w:szCs w:val="20"/>
        </w:rPr>
        <w:t xml:space="preserve">Except as </w:t>
      </w:r>
      <w:r w:rsidR="000A5A20" w:rsidRPr="004C1CAA">
        <w:rPr>
          <w:rFonts w:ascii="Times New Roman" w:hAnsi="Times New Roman" w:cs="Times New Roman"/>
          <w:sz w:val="20"/>
          <w:szCs w:val="20"/>
        </w:rPr>
        <w:t xml:space="preserve">expressly </w:t>
      </w:r>
      <w:r w:rsidRPr="004C1CAA">
        <w:rPr>
          <w:rFonts w:ascii="Times New Roman" w:hAnsi="Times New Roman" w:cs="Times New Roman"/>
          <w:sz w:val="20"/>
          <w:szCs w:val="20"/>
        </w:rPr>
        <w:t>set forth in</w:t>
      </w:r>
      <w:r w:rsidR="000A5A20" w:rsidRPr="004C1CAA">
        <w:rPr>
          <w:rFonts w:ascii="Times New Roman" w:hAnsi="Times New Roman" w:cs="Times New Roman"/>
          <w:sz w:val="20"/>
          <w:szCs w:val="20"/>
        </w:rPr>
        <w:t xml:space="preserve"> the solicitation documents and subsequent </w:t>
      </w:r>
      <w:r w:rsidR="00A33B29" w:rsidRPr="004C1CAA">
        <w:rPr>
          <w:rFonts w:ascii="Times New Roman" w:hAnsi="Times New Roman" w:cs="Times New Roman"/>
          <w:sz w:val="20"/>
          <w:szCs w:val="20"/>
        </w:rPr>
        <w:t xml:space="preserve">executed </w:t>
      </w:r>
      <w:r w:rsidR="000A5A20" w:rsidRPr="004C1CAA">
        <w:rPr>
          <w:rFonts w:ascii="Times New Roman" w:hAnsi="Times New Roman" w:cs="Times New Roman"/>
          <w:sz w:val="20"/>
          <w:szCs w:val="20"/>
        </w:rPr>
        <w:t>agreement, t</w:t>
      </w:r>
      <w:r w:rsidR="00703654" w:rsidRPr="004C1CAA">
        <w:rPr>
          <w:rFonts w:ascii="Times New Roman" w:hAnsi="Times New Roman" w:cs="Times New Roman"/>
          <w:sz w:val="20"/>
          <w:szCs w:val="20"/>
        </w:rPr>
        <w:t xml:space="preserve">he Court is not responsible for any expenses, including but not limited to </w:t>
      </w:r>
      <w:r w:rsidR="00710401" w:rsidRPr="004C1CAA">
        <w:rPr>
          <w:rFonts w:ascii="Times New Roman" w:hAnsi="Times New Roman" w:cs="Times New Roman"/>
          <w:sz w:val="20"/>
          <w:szCs w:val="20"/>
        </w:rPr>
        <w:t>travel expenses</w:t>
      </w:r>
      <w:r w:rsidR="00926403" w:rsidRPr="004C1CAA">
        <w:rPr>
          <w:rFonts w:ascii="Times New Roman" w:hAnsi="Times New Roman" w:cs="Times New Roman"/>
          <w:sz w:val="20"/>
          <w:szCs w:val="20"/>
        </w:rPr>
        <w:t>, which</w:t>
      </w:r>
      <w:r w:rsidR="00703654" w:rsidRPr="004C1CAA">
        <w:rPr>
          <w:rFonts w:ascii="Times New Roman" w:hAnsi="Times New Roman" w:cs="Times New Roman"/>
          <w:sz w:val="20"/>
          <w:szCs w:val="20"/>
        </w:rPr>
        <w:t xml:space="preserve"> the Contractor may incur in the performance of </w:t>
      </w:r>
      <w:r w:rsidR="00F818F4" w:rsidRPr="004C1CAA">
        <w:rPr>
          <w:rFonts w:ascii="Times New Roman" w:hAnsi="Times New Roman" w:cs="Times New Roman"/>
          <w:sz w:val="20"/>
          <w:szCs w:val="20"/>
        </w:rPr>
        <w:t>an</w:t>
      </w:r>
      <w:r w:rsidR="00703654" w:rsidRPr="004C1CAA">
        <w:rPr>
          <w:rFonts w:ascii="Times New Roman" w:hAnsi="Times New Roman" w:cs="Times New Roman"/>
          <w:sz w:val="20"/>
          <w:szCs w:val="20"/>
        </w:rPr>
        <w:t xml:space="preserve"> </w:t>
      </w:r>
      <w:r w:rsidR="00F818F4" w:rsidRPr="004C1CAA">
        <w:rPr>
          <w:rFonts w:ascii="Times New Roman" w:hAnsi="Times New Roman" w:cs="Times New Roman"/>
          <w:sz w:val="20"/>
          <w:szCs w:val="20"/>
        </w:rPr>
        <w:t xml:space="preserve">agreement </w:t>
      </w:r>
      <w:r w:rsidR="00495F2B" w:rsidRPr="004C1CAA">
        <w:rPr>
          <w:rFonts w:ascii="Times New Roman" w:hAnsi="Times New Roman" w:cs="Times New Roman"/>
          <w:sz w:val="20"/>
          <w:szCs w:val="20"/>
        </w:rPr>
        <w:t>execut</w:t>
      </w:r>
      <w:r w:rsidR="00F818F4" w:rsidRPr="004C1CAA">
        <w:rPr>
          <w:rFonts w:ascii="Times New Roman" w:hAnsi="Times New Roman" w:cs="Times New Roman"/>
          <w:sz w:val="20"/>
          <w:szCs w:val="20"/>
        </w:rPr>
        <w:t xml:space="preserve">ed </w:t>
      </w:r>
      <w:r w:rsidR="00F26A4B" w:rsidRPr="004C1CAA">
        <w:rPr>
          <w:rFonts w:ascii="Times New Roman" w:hAnsi="Times New Roman" w:cs="Times New Roman"/>
          <w:sz w:val="20"/>
          <w:szCs w:val="20"/>
        </w:rPr>
        <w:t>and resulting from</w:t>
      </w:r>
      <w:r w:rsidR="00F818F4" w:rsidRPr="004C1CAA">
        <w:rPr>
          <w:rFonts w:ascii="Times New Roman" w:hAnsi="Times New Roman" w:cs="Times New Roman"/>
          <w:sz w:val="20"/>
          <w:szCs w:val="20"/>
        </w:rPr>
        <w:t xml:space="preserve"> this </w:t>
      </w:r>
      <w:r w:rsidR="000A5A20" w:rsidRPr="004C1CAA">
        <w:rPr>
          <w:rFonts w:ascii="Times New Roman" w:hAnsi="Times New Roman" w:cs="Times New Roman"/>
          <w:sz w:val="20"/>
          <w:szCs w:val="20"/>
        </w:rPr>
        <w:t>solicitation.</w:t>
      </w:r>
    </w:p>
    <w:p w:rsidR="00703654" w:rsidRPr="004C1CAA" w:rsidRDefault="00703654" w:rsidP="00C74075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E7EC0" w:rsidRPr="004C1CAA" w:rsidRDefault="00DE7EC0" w:rsidP="00DE7EC0">
      <w:pPr>
        <w:pStyle w:val="ListParagraph"/>
        <w:ind w:left="360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1CAA">
        <w:rPr>
          <w:rFonts w:ascii="Times New Roman" w:hAnsi="Times New Roman" w:cs="Times New Roman"/>
          <w:i/>
          <w:sz w:val="20"/>
          <w:szCs w:val="20"/>
        </w:rPr>
        <w:t>End of Exhibit B</w:t>
      </w:r>
    </w:p>
    <w:sectPr w:rsidR="00DE7EC0" w:rsidRPr="004C1CAA" w:rsidSect="004C1CA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55" w:rsidRDefault="00F91A55" w:rsidP="004613B6">
      <w:pPr>
        <w:spacing w:after="0" w:line="240" w:lineRule="auto"/>
      </w:pPr>
      <w:r>
        <w:separator/>
      </w:r>
    </w:p>
  </w:endnote>
  <w:endnote w:type="continuationSeparator" w:id="0">
    <w:p w:rsidR="00F91A55" w:rsidRDefault="00F91A55" w:rsidP="0046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C0" w:rsidRPr="00DE7EC0" w:rsidRDefault="00DE7EC0" w:rsidP="00DE7EC0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DE7EC0">
      <w:rPr>
        <w:rFonts w:ascii="Times New Roman" w:hAnsi="Times New Roman" w:cs="Times New Roman"/>
        <w:sz w:val="20"/>
        <w:szCs w:val="20"/>
      </w:rPr>
      <w:t xml:space="preserve">Exhibit B: Payment Provisions // </w:t>
    </w:r>
    <w:sdt>
      <w:sdtPr>
        <w:rPr>
          <w:rFonts w:ascii="Times New Roman" w:hAnsi="Times New Roman" w:cs="Times New Roman"/>
          <w:sz w:val="20"/>
          <w:szCs w:val="20"/>
        </w:rPr>
        <w:id w:val="9605369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DE7EC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5B6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E7E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5B6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DE7EC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55" w:rsidRDefault="00F91A55" w:rsidP="004613B6">
      <w:pPr>
        <w:spacing w:after="0" w:line="240" w:lineRule="auto"/>
      </w:pPr>
      <w:r>
        <w:separator/>
      </w:r>
    </w:p>
  </w:footnote>
  <w:footnote w:type="continuationSeparator" w:id="0">
    <w:p w:rsidR="00F91A55" w:rsidRDefault="00F91A55" w:rsidP="0046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C0" w:rsidRDefault="00DE7EC0" w:rsidP="00DE7EC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Title: Insurance Brokerage Services</w:t>
    </w:r>
  </w:p>
  <w:p w:rsidR="00DE7EC0" w:rsidRDefault="00DE7EC0" w:rsidP="00DE7EC0">
    <w:pPr>
      <w:pStyle w:val="Header"/>
    </w:pPr>
    <w:r>
      <w:rPr>
        <w:rFonts w:ascii="Times New Roman" w:hAnsi="Times New Roman" w:cs="Times New Roman"/>
        <w:sz w:val="20"/>
        <w:szCs w:val="20"/>
      </w:rPr>
      <w:t>RFP Number: 19-22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C26EA"/>
    <w:multiLevelType w:val="hybridMultilevel"/>
    <w:tmpl w:val="9654983E"/>
    <w:lvl w:ilvl="0" w:tplc="F6B8AB64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92FC5"/>
    <w:multiLevelType w:val="hybridMultilevel"/>
    <w:tmpl w:val="4560F8E0"/>
    <w:lvl w:ilvl="0" w:tplc="54327E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40BD4"/>
    <w:multiLevelType w:val="hybridMultilevel"/>
    <w:tmpl w:val="6E7029D2"/>
    <w:lvl w:ilvl="0" w:tplc="B256354C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0D920B1"/>
    <w:multiLevelType w:val="hybridMultilevel"/>
    <w:tmpl w:val="5D9A4DE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0"/>
        <w:szCs w:val="20"/>
      </w:rPr>
    </w:lvl>
    <w:lvl w:ilvl="1" w:tplc="F6B8AB64">
      <w:start w:val="1"/>
      <w:numFmt w:val="lowerRoman"/>
      <w:lvlText w:val="%2."/>
      <w:lvlJc w:val="left"/>
      <w:pPr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6A22147"/>
    <w:multiLevelType w:val="hybridMultilevel"/>
    <w:tmpl w:val="AC5853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54"/>
    <w:rsid w:val="00001D3E"/>
    <w:rsid w:val="000030F1"/>
    <w:rsid w:val="0007562F"/>
    <w:rsid w:val="0008746B"/>
    <w:rsid w:val="00090DF7"/>
    <w:rsid w:val="000A5A20"/>
    <w:rsid w:val="000B268F"/>
    <w:rsid w:val="000D78E1"/>
    <w:rsid w:val="00104E5E"/>
    <w:rsid w:val="001218E9"/>
    <w:rsid w:val="00122C02"/>
    <w:rsid w:val="00125259"/>
    <w:rsid w:val="001545E3"/>
    <w:rsid w:val="00163826"/>
    <w:rsid w:val="00163FB7"/>
    <w:rsid w:val="00164D2A"/>
    <w:rsid w:val="001B4CAE"/>
    <w:rsid w:val="001D04DF"/>
    <w:rsid w:val="001E18F1"/>
    <w:rsid w:val="001E6FA5"/>
    <w:rsid w:val="00200A73"/>
    <w:rsid w:val="00225923"/>
    <w:rsid w:val="00235DDC"/>
    <w:rsid w:val="00274C17"/>
    <w:rsid w:val="00286D1B"/>
    <w:rsid w:val="002877AC"/>
    <w:rsid w:val="00292650"/>
    <w:rsid w:val="002B454F"/>
    <w:rsid w:val="0031334D"/>
    <w:rsid w:val="00337C88"/>
    <w:rsid w:val="00375810"/>
    <w:rsid w:val="00380AB0"/>
    <w:rsid w:val="003936DC"/>
    <w:rsid w:val="003D057F"/>
    <w:rsid w:val="003D61B1"/>
    <w:rsid w:val="003E3A95"/>
    <w:rsid w:val="003E4767"/>
    <w:rsid w:val="003F5555"/>
    <w:rsid w:val="004178D6"/>
    <w:rsid w:val="004613B6"/>
    <w:rsid w:val="00462A90"/>
    <w:rsid w:val="00476A0E"/>
    <w:rsid w:val="00495F2B"/>
    <w:rsid w:val="004C1CAA"/>
    <w:rsid w:val="004C7A66"/>
    <w:rsid w:val="004D3E8A"/>
    <w:rsid w:val="004F0F57"/>
    <w:rsid w:val="004F28D4"/>
    <w:rsid w:val="005035E5"/>
    <w:rsid w:val="00547420"/>
    <w:rsid w:val="00561061"/>
    <w:rsid w:val="00563E29"/>
    <w:rsid w:val="00567094"/>
    <w:rsid w:val="005B1AC9"/>
    <w:rsid w:val="005B21E8"/>
    <w:rsid w:val="00605BB7"/>
    <w:rsid w:val="00616D13"/>
    <w:rsid w:val="00640451"/>
    <w:rsid w:val="00646C30"/>
    <w:rsid w:val="00670442"/>
    <w:rsid w:val="00680D26"/>
    <w:rsid w:val="00690285"/>
    <w:rsid w:val="00695366"/>
    <w:rsid w:val="006A1EC2"/>
    <w:rsid w:val="006B0BF7"/>
    <w:rsid w:val="006C3208"/>
    <w:rsid w:val="006C78A0"/>
    <w:rsid w:val="006F560E"/>
    <w:rsid w:val="00703654"/>
    <w:rsid w:val="00710401"/>
    <w:rsid w:val="00714C8E"/>
    <w:rsid w:val="007270AC"/>
    <w:rsid w:val="007302A6"/>
    <w:rsid w:val="00730DEB"/>
    <w:rsid w:val="007561CC"/>
    <w:rsid w:val="00771A2C"/>
    <w:rsid w:val="00780F96"/>
    <w:rsid w:val="00782017"/>
    <w:rsid w:val="0078468D"/>
    <w:rsid w:val="0079465A"/>
    <w:rsid w:val="007D1A08"/>
    <w:rsid w:val="00805B9E"/>
    <w:rsid w:val="008076F5"/>
    <w:rsid w:val="008156F8"/>
    <w:rsid w:val="008212DE"/>
    <w:rsid w:val="008340D2"/>
    <w:rsid w:val="008433F4"/>
    <w:rsid w:val="00867B46"/>
    <w:rsid w:val="008706DC"/>
    <w:rsid w:val="00875C95"/>
    <w:rsid w:val="00892991"/>
    <w:rsid w:val="008D4733"/>
    <w:rsid w:val="008E5B68"/>
    <w:rsid w:val="008F3A6D"/>
    <w:rsid w:val="00901A50"/>
    <w:rsid w:val="00923922"/>
    <w:rsid w:val="00926403"/>
    <w:rsid w:val="00934800"/>
    <w:rsid w:val="009A0956"/>
    <w:rsid w:val="009A0D8B"/>
    <w:rsid w:val="009A1DC8"/>
    <w:rsid w:val="009C69D6"/>
    <w:rsid w:val="009D6841"/>
    <w:rsid w:val="009E58A0"/>
    <w:rsid w:val="00A33B29"/>
    <w:rsid w:val="00A33C22"/>
    <w:rsid w:val="00A62B6C"/>
    <w:rsid w:val="00A80690"/>
    <w:rsid w:val="00A9566B"/>
    <w:rsid w:val="00AB69EE"/>
    <w:rsid w:val="00AC43F6"/>
    <w:rsid w:val="00AE1996"/>
    <w:rsid w:val="00AF4B11"/>
    <w:rsid w:val="00B00B1C"/>
    <w:rsid w:val="00B407BF"/>
    <w:rsid w:val="00B56B24"/>
    <w:rsid w:val="00B83976"/>
    <w:rsid w:val="00BA08A4"/>
    <w:rsid w:val="00BC74E4"/>
    <w:rsid w:val="00BD6942"/>
    <w:rsid w:val="00C13D47"/>
    <w:rsid w:val="00C5064B"/>
    <w:rsid w:val="00C63A55"/>
    <w:rsid w:val="00C70B98"/>
    <w:rsid w:val="00C72F4C"/>
    <w:rsid w:val="00C74075"/>
    <w:rsid w:val="00C75B01"/>
    <w:rsid w:val="00CA7850"/>
    <w:rsid w:val="00CB4EFD"/>
    <w:rsid w:val="00D32C5C"/>
    <w:rsid w:val="00D411E5"/>
    <w:rsid w:val="00D47085"/>
    <w:rsid w:val="00D92032"/>
    <w:rsid w:val="00D93A6B"/>
    <w:rsid w:val="00DA00E4"/>
    <w:rsid w:val="00DA6E33"/>
    <w:rsid w:val="00DD327B"/>
    <w:rsid w:val="00DE7EC0"/>
    <w:rsid w:val="00E258F1"/>
    <w:rsid w:val="00E36730"/>
    <w:rsid w:val="00E5382C"/>
    <w:rsid w:val="00E848AE"/>
    <w:rsid w:val="00E86DC3"/>
    <w:rsid w:val="00E9314B"/>
    <w:rsid w:val="00ED31F5"/>
    <w:rsid w:val="00EE27CF"/>
    <w:rsid w:val="00F26A4B"/>
    <w:rsid w:val="00F43E9F"/>
    <w:rsid w:val="00F5219D"/>
    <w:rsid w:val="00F818F4"/>
    <w:rsid w:val="00F91A55"/>
    <w:rsid w:val="00FA2F1F"/>
    <w:rsid w:val="00FB37DA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54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B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4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B6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B6"/>
    <w:rPr>
      <w:rFonts w:ascii="Tahoma" w:eastAsiaTheme="minorEastAsi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90"/>
    <w:pPr>
      <w:spacing w:after="0" w:line="240" w:lineRule="auto"/>
    </w:pPr>
    <w:rPr>
      <w:rFonts w:eastAsia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90"/>
    <w:rPr>
      <w:rFonts w:asciiTheme="minorHAnsi" w:hAnsiTheme="minorHAns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54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B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4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B6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B6"/>
    <w:rPr>
      <w:rFonts w:ascii="Tahoma" w:eastAsiaTheme="minorEastAsi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90"/>
    <w:pPr>
      <w:spacing w:after="0" w:line="240" w:lineRule="auto"/>
    </w:pPr>
    <w:rPr>
      <w:rFonts w:eastAsia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90"/>
    <w:rPr>
      <w:rFonts w:asciiTheme="minorHAnsi" w:hAnsiTheme="minorHAns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Abesa, Maria</dc:creator>
  <cp:lastModifiedBy>Sundy, Sharon T.</cp:lastModifiedBy>
  <cp:revision>30</cp:revision>
  <cp:lastPrinted>2013-09-04T21:46:00Z</cp:lastPrinted>
  <dcterms:created xsi:type="dcterms:W3CDTF">2014-02-25T22:57:00Z</dcterms:created>
  <dcterms:modified xsi:type="dcterms:W3CDTF">2019-01-25T17:42:00Z</dcterms:modified>
</cp:coreProperties>
</file>