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B4AC" w14:textId="2FC75095" w:rsidR="004507F9" w:rsidRPr="00CD4DFE" w:rsidRDefault="00CD4DFE" w:rsidP="00CD4DFE">
      <w:pPr>
        <w:pStyle w:val="Header"/>
        <w:ind w:right="1440" w:firstLine="0"/>
        <w:jc w:val="center"/>
        <w:rPr>
          <w:i/>
          <w:iCs/>
        </w:rPr>
      </w:pPr>
      <w:r>
        <w:rPr>
          <w:i/>
          <w:iCs/>
          <w:color w:val="FF0000"/>
        </w:rPr>
        <w:t>Contract</w:t>
      </w:r>
      <w:bookmarkStart w:id="0" w:name="_GoBack"/>
      <w:bookmarkEnd w:id="0"/>
      <w:r>
        <w:rPr>
          <w:i/>
          <w:iCs/>
          <w:color w:val="FF0000"/>
        </w:rPr>
        <w:t xml:space="preserve">ors who have a current contract with the court may agree to those same terms and conditions </w:t>
      </w:r>
      <w:r>
        <w:rPr>
          <w:b/>
          <w:bCs/>
          <w:i/>
          <w:iCs/>
          <w:color w:val="FF0000"/>
          <w:u w:val="single"/>
        </w:rPr>
        <w:t>without</w:t>
      </w:r>
      <w:r>
        <w:rPr>
          <w:i/>
          <w:iCs/>
          <w:color w:val="FF0000"/>
          <w:u w:val="single"/>
        </w:rPr>
        <w:t xml:space="preserve"> </w:t>
      </w:r>
      <w:r>
        <w:rPr>
          <w:i/>
          <w:iCs/>
          <w:color w:val="FF0000"/>
        </w:rPr>
        <w:t>submitting a new redline version, except that section 1.3(a) shall be updated (see Attachment 3).</w:t>
      </w: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proofErr w:type="gramStart"/>
      <w:r>
        <w:t>policy(</w:t>
      </w:r>
      <w:proofErr w:type="spellStart"/>
      <w:proofErr w:type="gramEnd"/>
      <w:r>
        <w:t>ies</w:t>
      </w:r>
      <w:proofErr w:type="spellEnd"/>
      <w:r>
        <w:t xml:space="preserve">) </w:t>
      </w:r>
      <w:r w:rsidR="00AF2580">
        <w:t xml:space="preserve">and/or standard agreements </w:t>
      </w:r>
      <w:r>
        <w:t>issued to the Court as a result of a successful solicitation process</w:t>
      </w:r>
      <w:r w:rsidR="00AF2580">
        <w:t xml:space="preserve">, and as described in this Agreement. Contractor certifies that its standard </w:t>
      </w:r>
      <w:proofErr w:type="gramStart"/>
      <w:r w:rsidR="00AF2580">
        <w:t>policy(</w:t>
      </w:r>
      <w:proofErr w:type="spellStart"/>
      <w:proofErr w:type="gramEnd"/>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 xml:space="preserve">standard </w:t>
      </w:r>
      <w:proofErr w:type="gramStart"/>
      <w:r w:rsidR="00E07095">
        <w:t>policy(</w:t>
      </w:r>
      <w:proofErr w:type="spellStart"/>
      <w:proofErr w:type="gramEnd"/>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6BEFB17A" w14:textId="77777777"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w:t>
      </w:r>
      <w:r>
        <w:lastRenderedPageBreak/>
        <w:t>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 xml:space="preserve">as amended from </w:t>
      </w:r>
      <w:r w:rsidRPr="00683D48">
        <w:rPr>
          <w:iCs/>
          <w:spacing w:val="-5"/>
        </w:rPr>
        <w:lastRenderedPageBreak/>
        <w:t>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7"/>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4A66B269"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E91F13">
              <w:rPr>
                <w:sz w:val="16"/>
                <w:szCs w:val="16"/>
              </w:rPr>
              <w:t>2</w:t>
            </w:r>
            <w:r w:rsidR="003A6079">
              <w:rPr>
                <w:sz w:val="16"/>
                <w:szCs w:val="16"/>
              </w:rPr>
              <w:t>3</w:t>
            </w:r>
            <w:r w:rsidR="009D2DEC">
              <w:rPr>
                <w:sz w:val="16"/>
                <w:szCs w:val="16"/>
              </w:rPr>
              <w:t>-</w:t>
            </w:r>
            <w:r w:rsidR="008938E0">
              <w:rPr>
                <w:sz w:val="16"/>
                <w:szCs w:val="16"/>
              </w:rPr>
              <w:t>0</w:t>
            </w:r>
            <w:r w:rsidR="003A6079">
              <w:rPr>
                <w:sz w:val="16"/>
                <w:szCs w:val="16"/>
              </w:rPr>
              <w:t>6</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8D039D">
              <w:rPr>
                <w:b/>
                <w:bCs/>
                <w:noProof/>
                <w:sz w:val="16"/>
                <w:szCs w:val="16"/>
              </w:rPr>
              <w:t>11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8D039D">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E03C" w14:textId="61BEFF6D" w:rsidR="00FF2E4D" w:rsidRDefault="00FF2E4D" w:rsidP="00FF2E4D">
    <w:pPr>
      <w:pStyle w:val="Header"/>
      <w:ind w:firstLine="0"/>
    </w:pPr>
    <w:r>
      <w:t xml:space="preserve">RFP Title: </w:t>
    </w:r>
    <w:r w:rsidR="008D039D">
      <w:t>Vision Insurance Plan</w:t>
    </w:r>
  </w:p>
  <w:p w14:paraId="2D72F7B8" w14:textId="0D1996A4" w:rsidR="004507F9" w:rsidRPr="00FF2E4D" w:rsidRDefault="00FF2E4D" w:rsidP="00FF2E4D">
    <w:pPr>
      <w:pStyle w:val="Header"/>
      <w:ind w:firstLine="0"/>
    </w:pPr>
    <w:r>
      <w:t xml:space="preserve">RFP Number: </w:t>
    </w:r>
    <w:r w:rsidR="008D039D">
      <w:t>23-02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C4496"/>
    <w:rsid w:val="005C51CF"/>
    <w:rsid w:val="005C53C9"/>
    <w:rsid w:val="005F5A15"/>
    <w:rsid w:val="005F74C7"/>
    <w:rsid w:val="005F7BB2"/>
    <w:rsid w:val="0060587F"/>
    <w:rsid w:val="0063174E"/>
    <w:rsid w:val="0069430E"/>
    <w:rsid w:val="006A165C"/>
    <w:rsid w:val="006B278C"/>
    <w:rsid w:val="006D25B2"/>
    <w:rsid w:val="006E18D1"/>
    <w:rsid w:val="006F1696"/>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938E0"/>
    <w:rsid w:val="008B0261"/>
    <w:rsid w:val="008D039D"/>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B0C87"/>
    <w:rsid w:val="00CC32EC"/>
    <w:rsid w:val="00CD4DFE"/>
    <w:rsid w:val="00CD56CA"/>
    <w:rsid w:val="00CD7F79"/>
    <w:rsid w:val="00CF25C5"/>
    <w:rsid w:val="00D25001"/>
    <w:rsid w:val="00D56E93"/>
    <w:rsid w:val="00D81D39"/>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0632">
      <w:bodyDiv w:val="1"/>
      <w:marLeft w:val="0"/>
      <w:marRight w:val="0"/>
      <w:marTop w:val="0"/>
      <w:marBottom w:val="0"/>
      <w:divBdr>
        <w:top w:val="none" w:sz="0" w:space="0" w:color="auto"/>
        <w:left w:val="none" w:sz="0" w:space="0" w:color="auto"/>
        <w:bottom w:val="none" w:sz="0" w:space="0" w:color="auto"/>
        <w:right w:val="none" w:sz="0" w:space="0" w:color="auto"/>
      </w:divBdr>
    </w:div>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 w:id="19894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Pierson, Tricia</cp:lastModifiedBy>
  <cp:revision>6</cp:revision>
  <cp:lastPrinted>2014-05-23T15:37:00Z</cp:lastPrinted>
  <dcterms:created xsi:type="dcterms:W3CDTF">2023-06-22T18:25:00Z</dcterms:created>
  <dcterms:modified xsi:type="dcterms:W3CDTF">2023-07-13T17:51:00Z</dcterms:modified>
</cp:coreProperties>
</file>